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简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color w:val="auto"/>
          <w:sz w:val="32"/>
          <w:szCs w:val="32"/>
        </w:rPr>
        <w:t xml:space="preserve"> 第三类 食品经营许可现场核查内容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eastAsia="楷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楷体" w:cs="Times New Roman"/>
          <w:color w:val="auto"/>
          <w:sz w:val="32"/>
          <w:szCs w:val="32"/>
        </w:rPr>
        <w:t>（适用于小餐饮）</w:t>
      </w:r>
    </w:p>
    <w:p>
      <w:pPr>
        <w:bidi w:val="0"/>
        <w:rPr>
          <w:rFonts w:hint="eastAsia"/>
          <w:sz w:val="20"/>
          <w:szCs w:val="22"/>
        </w:rPr>
      </w:pPr>
    </w:p>
    <w:tbl>
      <w:tblPr>
        <w:tblStyle w:val="4"/>
        <w:tblW w:w="9814" w:type="dxa"/>
        <w:tblInd w:w="-64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5"/>
        <w:gridCol w:w="52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585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" w:hAnsi="仿宋" w:eastAsia="仿宋_GB2312" w:cs="仿宋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经营者名称：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5229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地址：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85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仿宋" w:hAnsi="仿宋" w:eastAsia="仿宋_GB2312" w:cs="仿宋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申请主体业态: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5229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仿宋" w:hAnsi="仿宋" w:eastAsia="仿宋_GB2312" w:cs="仿宋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申请经营项目：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</w:tbl>
    <w:p>
      <w:pPr>
        <w:ind w:left="0" w:leftChars="0" w:firstLine="0" w:firstLineChars="0"/>
        <w:rPr>
          <w:rFonts w:hint="eastAsia"/>
          <w:sz w:val="21"/>
          <w:szCs w:val="21"/>
        </w:rPr>
      </w:pPr>
    </w:p>
    <w:tbl>
      <w:tblPr>
        <w:tblStyle w:val="3"/>
        <w:tblW w:w="9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5592"/>
        <w:gridCol w:w="600"/>
        <w:gridCol w:w="545"/>
        <w:gridCol w:w="783"/>
        <w:gridCol w:w="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10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核查内容</w:t>
            </w:r>
          </w:p>
        </w:tc>
        <w:tc>
          <w:tcPr>
            <w:tcW w:w="559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核查和评价方法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  <w:lang w:eastAsia="zh-CN"/>
              </w:rPr>
              <w:t>序</w:t>
            </w: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号</w:t>
            </w:r>
          </w:p>
        </w:tc>
        <w:tc>
          <w:tcPr>
            <w:tcW w:w="1911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结果判定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pacing w:line="340" w:lineRule="exact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vMerge w:val="continue"/>
            <w:noWrap w:val="0"/>
            <w:vAlign w:val="center"/>
          </w:tcPr>
          <w:p>
            <w:pPr>
              <w:spacing w:line="340" w:lineRule="exact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4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符合</w:t>
            </w:r>
          </w:p>
        </w:tc>
        <w:tc>
          <w:tcPr>
            <w:tcW w:w="78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不符合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合理缺项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tblHeader/>
          <w:jc w:val="center"/>
        </w:trPr>
        <w:tc>
          <w:tcPr>
            <w:tcW w:w="1610" w:type="dxa"/>
            <w:vMerge w:val="restart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1.选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址及场所设置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选择有给排水条件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（设施）和电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力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供应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的地区，不得设在易受到污染的区域。距离粪坑、污水池、暴露垃圾场（站）、旱厕等污染源25m以上。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食品原料处理和食品加工、销售、贮存等场所环境整洁。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经营场所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实际面积、设备设施布局及流程与申报面积及图纸相一致。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设置与食品供应方式和品种相适应的初加工、半成品制作、成品加工、餐具与工用具（含容器）清洗消毒、原料存放、售卖等功能区。食品加工处理各功能区均在室内。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各功能区分区较为明确，基本按照原料进入、原料处理、半成品加工、成品供应的顺序合理布局。糕点成品存放场所（或区域）应与其他场所相对分开。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经营场所有有效防蝇、防虫、防鼠设施，与外界相通的通风口、换气窗外应加装不小于16目的防虫筛网。与外界相通的排水管道出水口篦子使用金属材料，缝隙小于10mm。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tblHeader/>
          <w:jc w:val="center"/>
        </w:trPr>
        <w:tc>
          <w:tcPr>
            <w:tcW w:w="1610" w:type="dxa"/>
            <w:vMerge w:val="restart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.食品处理区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地面平整、光滑、无裂缝。初加工、餐具与工用具清洗消毒等场所有给排水系统。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墙壁应采用无毒、无异味、不易积垢、易清洗的材料制成，初加工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、半成品制作、餐具与用具清洗消毒和烹饪场所有1.5m以上光滑、不吸水、浅色、耐用和易清洗的材料制成的墙裙。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天花板不渗水，无脱落、破损。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与外界相通的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门、窗采用易清洗、不吸水材料制作，能闭合严密。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设置非手动带盖的废弃物存放容器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。废弃物容器与加工用容器有明显区分的标识。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热加工场所配置机械排风装置。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加工经营场所光源不改变食品的天然颜色。安装在暴露食品正上方的照明设施使用防护罩。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tblHeader/>
          <w:jc w:val="center"/>
        </w:trPr>
        <w:tc>
          <w:tcPr>
            <w:tcW w:w="1610" w:type="dxa"/>
            <w:vMerge w:val="restart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.食品工用具及清洗、保洁设施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根据加工品种和规模，设一个以上的原料清洗水池（容器）。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使用容器代替水池的，应设固定的有给排水设施的操作台。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配备能正常运转的餐具与工用具的清洗、消毒设备设施，其大小和数量能满足需要。使用容器代替水池的，应设固定的有给排水设施的操作台。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设专用于拖把等清洁工具、用具的清洗水池（容器），其位置不会污染食品及其加工制作过程。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食品原料清洗、餐用具清洗消毒以及清洁工用具清洗水池(容器)分开专用，并以明显标识标明其用途。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设专供存放消毒后餐具、工用具的保洁设施，标记明显，易于清洁，容量和数量应能满足加工制作和供餐需要。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接触食品的设备、工具、容器、包装材料等符合食品安全标准或要求。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tblHeader/>
          <w:jc w:val="center"/>
        </w:trPr>
        <w:tc>
          <w:tcPr>
            <w:tcW w:w="1610" w:type="dxa"/>
            <w:vMerge w:val="restart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.食品贮存场所与设施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食品和非食品（不会导致食品污染的食品容器、包装材料、工具等除外）存放场所（区域）明显分开。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冷藏、冷冻柜（库）数量和结构能使原料、半成品和成品分开存放，有明显区分标识。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食品贮存场所以及其它食品处理场所有足够数量的食品存放架（柜），确保食品分类、上架（进柜）存放。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tblHeader/>
          <w:jc w:val="center"/>
        </w:trPr>
        <w:tc>
          <w:tcPr>
            <w:tcW w:w="161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专间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从事冷荤类及冷食类非发酵豆制品、冷加工糕点、生食类食品制售，应分别设置相应的专间。专间符合相应的规定。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tblHeader/>
          <w:jc w:val="center"/>
        </w:trPr>
        <w:tc>
          <w:tcPr>
            <w:tcW w:w="161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6.专用操作区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自制饮品（在封闭的自动设备中操作和饮品的现场调配、冲泡、分装除外）、植物性冷食类制作（不含冷食类非发酵豆制品），应分别设置相应的专用操作区。专区符合相应的规定。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24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tblHeader/>
          <w:jc w:val="center"/>
        </w:trPr>
        <w:tc>
          <w:tcPr>
            <w:tcW w:w="161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简单制售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从事解冻、简单加热、冲调、组合、摆盘、洗切等食品安全风险较低的简单制售的，对预包装食品进行拆封、装盘、分切、调味等简单制售后即时供应的，调制直接食用的调味料，可在相对洁净的专用工作台操作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25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tblHeader/>
          <w:jc w:val="center"/>
        </w:trPr>
        <w:tc>
          <w:tcPr>
            <w:tcW w:w="161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食品用水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食品制作使用水应符合国家生活饮用水卫生标准。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接触直接入口食品（包括冷食类、生食类食品和自制饮品）的水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经过水净化设施处理或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煮沸设施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或使用直接饮用水。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6" w:hRule="atLeast"/>
          <w:tblHeader/>
          <w:jc w:val="center"/>
        </w:trPr>
        <w:tc>
          <w:tcPr>
            <w:tcW w:w="1610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9.管理制度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经营者有食品安全自查、食品安全追溯、从业人员健康管理制度、定期清洗消毒空调及通风设施制度、定期清洁卫生间制度。经营者为企业的，还应有食品安全风险管控清单，有日管控、周排查、月调度制度，人员培训和考核制度，进货查验记录制度，场所及设施清洗清毒和维修保养制度，食品贮存管理制度，废弃物处置制度，不合格食品处置制度，食品安全事故处置方案以及食品经营过程控制制度等制度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tblHeader/>
          <w:jc w:val="center"/>
        </w:trPr>
        <w:tc>
          <w:tcPr>
            <w:tcW w:w="1610" w:type="dxa"/>
            <w:vMerge w:val="restart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.卫生间</w:t>
            </w: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食品处理区内不得设置卫生间。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tblHeader/>
          <w:jc w:val="center"/>
        </w:trPr>
        <w:tc>
          <w:tcPr>
            <w:tcW w:w="1610" w:type="dxa"/>
            <w:vMerge w:val="continue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592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卫生间设置有效排气设施。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545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center"/>
          </w:tcPr>
          <w:p>
            <w:pPr>
              <w:snapToGrid w:val="0"/>
              <w:spacing w:line="300" w:lineRule="exact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tblHeader/>
          <w:jc w:val="center"/>
        </w:trPr>
        <w:tc>
          <w:tcPr>
            <w:tcW w:w="9713" w:type="dxa"/>
            <w:gridSpan w:val="6"/>
            <w:noWrap w:val="0"/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核查意见</w:t>
            </w:r>
          </w:p>
          <w:p>
            <w:pPr>
              <w:widowControl/>
              <w:spacing w:line="340" w:lineRule="exact"/>
              <w:ind w:firstLine="48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widowControl/>
              <w:spacing w:line="340" w:lineRule="exact"/>
              <w:ind w:firstLine="480" w:firstLineChars="200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局（所）核查人员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根据《中华人民共和国食品安全法》等有关法律法规的规定，对该单位的食品经营场所进行了现场核查，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核查意见如下：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□通过　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    现场核查符合要求。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□限期整改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对照核查内容和评价标准限期进行整改完善。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□不予通过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退回整改后再行申请。</w:t>
            </w: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核查人员签字：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年     月     日</w:t>
            </w: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</w:p>
          <w:p>
            <w:pPr>
              <w:snapToGrid w:val="0"/>
              <w:spacing w:line="300" w:lineRule="exact"/>
              <w:ind w:firstLine="480" w:firstLineChars="200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食品经营单位负责人签字：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月     日</w:t>
            </w:r>
          </w:p>
        </w:tc>
      </w:tr>
    </w:tbl>
    <w:p>
      <w:pPr>
        <w:ind w:left="0" w:leftChars="0" w:firstLine="0" w:firstLine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D72D9"/>
    <w:rsid w:val="17E02C37"/>
    <w:rsid w:val="19650358"/>
    <w:rsid w:val="3F696545"/>
    <w:rsid w:val="472D72D9"/>
    <w:rsid w:val="5CBA25B7"/>
    <w:rsid w:val="76DA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</w:pPr>
    <w:rPr>
      <w:rFonts w:ascii="仿宋" w:hAnsi="仿宋" w:eastAsia="仿宋"/>
      <w:sz w:val="30"/>
      <w:szCs w:val="30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2025-03-08T15:02:00Z</dcterms:created>
  <dc:creator>刘力康</dc:creator>
  <cp:lastModifiedBy>邹清</cp:lastModifiedBy>
  <dcterms:modified xsi:type="dcterms:W3CDTF">2025-04-02T01:26:44Z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D102D3FFD88F42A9B9D30A63513BD402_11</vt:lpwstr>
  </property>
  <property fmtid="{D5CDD505-2E9C-101B-9397-08002B2CF9AE}" pid="4" name="KSOTemplateDocerSaveRecord">
    <vt:lpwstr>eyJoZGlkIjoiMjcwZThkNTY2OTUyN2Y2YzA1NWE5NTg2YjcwOWNlZDgiLCJ1c2VySWQiOiI2MzE2NDAyOTIifQ==</vt:lpwstr>
  </property>
</Properties>
</file>